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7" w:rsidRPr="004568EA" w:rsidRDefault="00751A67" w:rsidP="00751A67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УТВЕРЖДЕН</w:t>
      </w:r>
    </w:p>
    <w:p w:rsidR="00751A67" w:rsidRPr="004568EA" w:rsidRDefault="00751A67" w:rsidP="00751A6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1A67" w:rsidRDefault="00751A67" w:rsidP="00751A6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51A67" w:rsidRPr="004568EA" w:rsidRDefault="00751A67" w:rsidP="00751A6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«Шилкинское»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67" w:rsidRPr="004568EA" w:rsidRDefault="00751A67" w:rsidP="00751A6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 2015 г. № 689</w:t>
      </w:r>
    </w:p>
    <w:p w:rsidR="00751A67" w:rsidRPr="004568EA" w:rsidRDefault="00751A67" w:rsidP="00751A67">
      <w:pPr>
        <w:pStyle w:val="2"/>
        <w:ind w:left="4536" w:firstLine="0"/>
        <w:rPr>
          <w:color w:val="auto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51A67" w:rsidRPr="004568EA" w:rsidRDefault="00751A67" w:rsidP="00751A6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751A67" w:rsidRPr="004568EA" w:rsidRDefault="00751A67" w:rsidP="00751A67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2653EA" w:rsidRDefault="00751A67" w:rsidP="00751A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EA"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образования) по предоставлению муниципальной услуги</w:t>
      </w:r>
      <w:r w:rsidRPr="002653EA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П</w:t>
      </w:r>
      <w:r w:rsidRPr="002653EA">
        <w:rPr>
          <w:rFonts w:ascii="Times New Roman" w:hAnsi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регламент, муниципальная услуга) </w:t>
      </w:r>
      <w:r w:rsidRPr="002653EA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выдаче разрешений о переводе или об отказе в переводе жилого помещения в нежилое или нежилого помещения в жилое помещение.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Круг заявителей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2.</w:t>
      </w:r>
      <w:r w:rsidRPr="009961C6">
        <w:rPr>
          <w:rFonts w:ascii="Times New Roman" w:hAnsi="Times New Roman"/>
          <w:b w:val="0"/>
          <w:color w:val="auto"/>
          <w:sz w:val="28"/>
          <w:szCs w:val="28"/>
        </w:rPr>
        <w:t xml:space="preserve"> Заявителями на предоставление муниципальной услуги являются  физические и юридические лица, зарегистрированные на территории Росси</w:t>
      </w:r>
      <w:r w:rsidRPr="009961C6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9961C6">
        <w:rPr>
          <w:rFonts w:ascii="Times New Roman" w:hAnsi="Times New Roman"/>
          <w:b w:val="0"/>
          <w:color w:val="auto"/>
          <w:sz w:val="28"/>
          <w:szCs w:val="28"/>
        </w:rPr>
        <w:t>ской Федерации и являющиеся собственниками жилого (нежилого) помещения</w:t>
      </w:r>
      <w:r w:rsidRPr="009961C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тельством Российской Федерации необходимыми полномочиями (далее - ф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лиалы).</w:t>
      </w:r>
    </w:p>
    <w:p w:rsidR="00751A67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предоставлении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муниципальной услуги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</w:t>
      </w:r>
      <w:r w:rsidRPr="004568EA">
        <w:rPr>
          <w:rFonts w:ascii="Times New Roman" w:hAnsi="Times New Roman"/>
          <w:sz w:val="28"/>
          <w:szCs w:val="28"/>
        </w:rPr>
        <w:t>д</w:t>
      </w:r>
      <w:r w:rsidRPr="004568EA">
        <w:rPr>
          <w:rFonts w:ascii="Times New Roman" w:hAnsi="Times New Roman"/>
          <w:sz w:val="28"/>
          <w:szCs w:val="28"/>
        </w:rPr>
        <w:t>ставляется: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4.1. Посредством размещения в информационно-телекоммуникационной сети «Интернет» на официальном сайте о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а также на официальном сайте КГАУ «МФЦ Забайкальского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68E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hyperlink r:id="rId5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4568EA">
        <w:rPr>
          <w:rFonts w:ascii="Times New Roman" w:hAnsi="Times New Roman"/>
          <w:sz w:val="28"/>
          <w:szCs w:val="28"/>
        </w:rPr>
        <w:t>., либо регионального портала государственных 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 xml:space="preserve">пальных услуг- </w:t>
      </w:r>
      <w:r w:rsidRPr="004568EA">
        <w:rPr>
          <w:rFonts w:ascii="Times New Roman" w:hAnsi="Times New Roman"/>
          <w:sz w:val="28"/>
          <w:szCs w:val="28"/>
          <w:lang w:val="en-US"/>
        </w:rPr>
        <w:t>http</w:t>
      </w:r>
      <w:r w:rsidRPr="004568EA">
        <w:rPr>
          <w:rFonts w:ascii="Times New Roman" w:hAnsi="Times New Roman"/>
          <w:sz w:val="28"/>
          <w:szCs w:val="28"/>
        </w:rPr>
        <w:t>: //</w:t>
      </w:r>
      <w:r w:rsidRPr="004568EA">
        <w:rPr>
          <w:rFonts w:ascii="Times New Roman" w:hAnsi="Times New Roman"/>
          <w:sz w:val="28"/>
          <w:szCs w:val="28"/>
          <w:lang w:val="en-US"/>
        </w:rPr>
        <w:t>www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pgu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e</w:t>
      </w:r>
      <w:r w:rsidRPr="004568EA">
        <w:rPr>
          <w:rFonts w:ascii="Times New Roman" w:hAnsi="Times New Roman"/>
          <w:sz w:val="28"/>
          <w:szCs w:val="28"/>
        </w:rPr>
        <w:t>-</w:t>
      </w:r>
      <w:r w:rsidRPr="004568EA">
        <w:rPr>
          <w:rFonts w:ascii="Times New Roman" w:hAnsi="Times New Roman"/>
          <w:sz w:val="28"/>
          <w:szCs w:val="28"/>
          <w:lang w:val="en-US"/>
        </w:rPr>
        <w:t>zab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ru</w:t>
      </w:r>
    </w:p>
    <w:p w:rsidR="00751A67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C37FFA">
        <w:rPr>
          <w:rFonts w:ascii="Times New Roman" w:hAnsi="Times New Roman"/>
          <w:sz w:val="28"/>
          <w:szCs w:val="28"/>
          <w:lang w:val="en-US"/>
        </w:rPr>
        <w:t>http</w:t>
      </w:r>
      <w:r w:rsidRPr="00C37FFA">
        <w:rPr>
          <w:rFonts w:ascii="Times New Roman" w:hAnsi="Times New Roman"/>
          <w:sz w:val="28"/>
          <w:szCs w:val="28"/>
        </w:rPr>
        <w:t>: //</w:t>
      </w:r>
      <w:r w:rsidRPr="00C37FFA">
        <w:rPr>
          <w:rFonts w:ascii="Times New Roman" w:hAnsi="Times New Roman"/>
          <w:sz w:val="28"/>
          <w:szCs w:val="28"/>
          <w:lang w:val="en-US"/>
        </w:rPr>
        <w:t>www</w:t>
      </w:r>
      <w:r w:rsidRPr="00C37FFA">
        <w:rPr>
          <w:rFonts w:ascii="Times New Roman" w:hAnsi="Times New Roman"/>
          <w:sz w:val="28"/>
          <w:szCs w:val="28"/>
        </w:rPr>
        <w:t>. город.шилкинский.рф</w:t>
      </w:r>
      <w:r w:rsidRPr="00C37FFA">
        <w:rPr>
          <w:rFonts w:ascii="Times New Roman" w:hAnsi="Times New Roman"/>
          <w:i/>
          <w:sz w:val="28"/>
          <w:szCs w:val="28"/>
        </w:rPr>
        <w:t>,</w:t>
      </w:r>
      <w:r w:rsidRPr="00D1353C">
        <w:rPr>
          <w:rFonts w:ascii="Times New Roman" w:hAnsi="Times New Roman"/>
          <w:i/>
          <w:sz w:val="28"/>
          <w:szCs w:val="28"/>
        </w:rPr>
        <w:t xml:space="preserve"> </w:t>
      </w:r>
      <w:r w:rsidRPr="00D1353C">
        <w:rPr>
          <w:rFonts w:ascii="Times New Roman" w:hAnsi="Times New Roman"/>
          <w:sz w:val="28"/>
          <w:szCs w:val="28"/>
        </w:rPr>
        <w:t>а также официального сайта КГАУ «МФЦ Забайкальского края».</w:t>
      </w:r>
    </w:p>
    <w:p w:rsidR="00751A67" w:rsidRPr="00C37FF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4.2. По запросам.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FA">
        <w:rPr>
          <w:rFonts w:ascii="Times New Roman" w:hAnsi="Times New Roman"/>
          <w:sz w:val="28"/>
          <w:szCs w:val="28"/>
        </w:rPr>
        <w:t xml:space="preserve">673370 Забайкальский край, г. Шилка, ул. Балябина № 138А. </w:t>
      </w:r>
    </w:p>
    <w:p w:rsidR="00751A67" w:rsidRPr="00C37FF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 электронной почты для направления обращений:</w:t>
      </w:r>
      <w:r w:rsidRPr="00C37FFA">
        <w:rPr>
          <w:color w:val="333333"/>
          <w:sz w:val="28"/>
          <w:szCs w:val="28"/>
          <w:shd w:val="clear" w:color="auto" w:fill="FFFFFF"/>
        </w:rPr>
        <w:t xml:space="preserve"> </w:t>
      </w:r>
      <w:r w:rsidRPr="00C37F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gor_shilka@mail.ru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Телефоны </w:t>
      </w:r>
      <w:r>
        <w:rPr>
          <w:rFonts w:ascii="Times New Roman" w:hAnsi="Times New Roman"/>
          <w:sz w:val="28"/>
          <w:szCs w:val="28"/>
        </w:rPr>
        <w:t>8 (30244) 2-15-24.</w:t>
      </w:r>
    </w:p>
    <w:p w:rsidR="00751A67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пальную услугу, размещаются на сайте.</w:t>
      </w:r>
    </w:p>
    <w:p w:rsidR="00751A67" w:rsidRPr="00D1353C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568EA">
        <w:rPr>
          <w:rFonts w:ascii="Times New Roman" w:hAnsi="Times New Roman"/>
          <w:sz w:val="28"/>
          <w:szCs w:val="28"/>
        </w:rPr>
        <w:t>. Посредством размещения на информационных стендах, распол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женных в помещении органа, предоставляющего муниципальную услугу, предназначенном для приема обращений и заявлений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и в КГАУ «МФЦ Забайкальского края.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751A67" w:rsidRPr="00CE3044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пятница: 8:00 – 17:00</w:t>
      </w:r>
      <w:r w:rsidRPr="00CE3044">
        <w:rPr>
          <w:rFonts w:ascii="Times New Roman" w:hAnsi="Times New Roman"/>
          <w:sz w:val="28"/>
          <w:szCs w:val="28"/>
        </w:rPr>
        <w:t>;</w:t>
      </w:r>
    </w:p>
    <w:p w:rsidR="00751A67" w:rsidRPr="00CE3044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>обеденный перерыв: 1</w:t>
      </w:r>
      <w:r>
        <w:rPr>
          <w:rFonts w:ascii="Times New Roman" w:hAnsi="Times New Roman"/>
          <w:sz w:val="28"/>
          <w:szCs w:val="28"/>
        </w:rPr>
        <w:t>2:00 – 13</w:t>
      </w:r>
      <w:r w:rsidRPr="00CE3044">
        <w:rPr>
          <w:rFonts w:ascii="Times New Roman" w:hAnsi="Times New Roman"/>
          <w:sz w:val="28"/>
          <w:szCs w:val="28"/>
        </w:rPr>
        <w:t>:00;</w:t>
      </w:r>
    </w:p>
    <w:p w:rsidR="00751A67" w:rsidRPr="00CE3044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51A67" w:rsidRPr="00CE3044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4568EA">
        <w:rPr>
          <w:rFonts w:ascii="Times New Roman" w:hAnsi="Times New Roman"/>
          <w:sz w:val="28"/>
          <w:szCs w:val="28"/>
        </w:rPr>
        <w:t>. На информационных стендах ра</w:t>
      </w:r>
      <w:r w:rsidRPr="004568EA">
        <w:rPr>
          <w:rFonts w:ascii="Times New Roman" w:hAnsi="Times New Roman"/>
          <w:sz w:val="28"/>
          <w:szCs w:val="28"/>
        </w:rPr>
        <w:t>з</w:t>
      </w:r>
      <w:r w:rsidRPr="004568EA">
        <w:rPr>
          <w:rFonts w:ascii="Times New Roman" w:hAnsi="Times New Roman"/>
          <w:sz w:val="28"/>
          <w:szCs w:val="28"/>
        </w:rPr>
        <w:t>мещается следующая информация: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ципальной услуги;</w:t>
      </w:r>
    </w:p>
    <w:p w:rsidR="00751A67" w:rsidRPr="009961C6" w:rsidRDefault="00751A67" w:rsidP="00751A67">
      <w:pPr>
        <w:pStyle w:val="2"/>
        <w:ind w:firstLine="709"/>
        <w:jc w:val="both"/>
        <w:rPr>
          <w:rFonts w:ascii="Times New Roman" w:hAnsi="Times New Roman"/>
          <w:b w:val="0"/>
          <w:color w:val="auto"/>
        </w:rPr>
      </w:pPr>
      <w:r w:rsidRPr="009961C6">
        <w:rPr>
          <w:rFonts w:ascii="Times New Roman" w:hAnsi="Times New Roman"/>
          <w:b w:val="0"/>
          <w:color w:val="auto"/>
        </w:rPr>
        <w:t xml:space="preserve">образец заявления о выдаче документов </w:t>
      </w:r>
      <w:r w:rsidRPr="009961C6">
        <w:rPr>
          <w:rFonts w:ascii="Times New Roman" w:hAnsi="Times New Roman"/>
          <w:b w:val="0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 </w:t>
      </w:r>
      <w:hyperlink r:id="rId6" w:history="1">
        <w:r w:rsidRPr="009961C6">
          <w:rPr>
            <w:rFonts w:ascii="Times New Roman" w:hAnsi="Times New Roman"/>
            <w:b w:val="0"/>
            <w:color w:val="auto"/>
          </w:rPr>
          <w:t>(прилож</w:t>
        </w:r>
        <w:r w:rsidRPr="009961C6">
          <w:rPr>
            <w:rFonts w:ascii="Times New Roman" w:hAnsi="Times New Roman"/>
            <w:b w:val="0"/>
            <w:color w:val="auto"/>
          </w:rPr>
          <w:t>е</w:t>
        </w:r>
        <w:r w:rsidRPr="009961C6">
          <w:rPr>
            <w:rFonts w:ascii="Times New Roman" w:hAnsi="Times New Roman"/>
            <w:b w:val="0"/>
            <w:color w:val="auto"/>
          </w:rPr>
          <w:t>ние 2)</w:t>
        </w:r>
      </w:hyperlink>
      <w:r w:rsidRPr="009961C6">
        <w:rPr>
          <w:rFonts w:ascii="Times New Roman" w:hAnsi="Times New Roman"/>
          <w:b w:val="0"/>
          <w:color w:val="auto"/>
        </w:rPr>
        <w:t>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просам предоставления муниципальной услуги.</w:t>
      </w:r>
    </w:p>
    <w:p w:rsidR="00751A67" w:rsidRPr="009961C6" w:rsidRDefault="00751A67" w:rsidP="00751A67">
      <w:pPr>
        <w:pStyle w:val="2"/>
        <w:ind w:firstLine="709"/>
        <w:jc w:val="both"/>
        <w:rPr>
          <w:rFonts w:ascii="Times New Roman" w:hAnsi="Times New Roman"/>
          <w:b w:val="0"/>
          <w:color w:val="auto"/>
        </w:rPr>
      </w:pPr>
      <w:r w:rsidRPr="009961C6">
        <w:rPr>
          <w:rFonts w:ascii="Times New Roman" w:hAnsi="Times New Roman"/>
          <w:b w:val="0"/>
          <w:color w:val="auto"/>
        </w:rPr>
        <w:t xml:space="preserve">5. Размещение указанной информации организует </w:t>
      </w:r>
      <w:r>
        <w:rPr>
          <w:rFonts w:ascii="Times New Roman" w:hAnsi="Times New Roman"/>
          <w:b w:val="0"/>
          <w:color w:val="auto"/>
        </w:rPr>
        <w:t>Администрация орган</w:t>
      </w:r>
      <w:r w:rsidRPr="009961C6">
        <w:rPr>
          <w:rFonts w:ascii="Times New Roman" w:hAnsi="Times New Roman"/>
          <w:b w:val="0"/>
          <w:color w:val="auto"/>
        </w:rPr>
        <w:t>, предоставляющий муниципальную услугу, уполномоченный выдавать документы (</w:t>
      </w:r>
      <w:r w:rsidRPr="009961C6">
        <w:rPr>
          <w:rFonts w:ascii="Times New Roman" w:hAnsi="Times New Roman"/>
          <w:b w:val="0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переводе») </w:t>
      </w:r>
      <w:r w:rsidRPr="009961C6">
        <w:rPr>
          <w:rFonts w:ascii="Times New Roman" w:hAnsi="Times New Roman"/>
          <w:b w:val="0"/>
          <w:color w:val="auto"/>
        </w:rPr>
        <w:t>(</w:t>
      </w:r>
      <w:r>
        <w:rPr>
          <w:rFonts w:ascii="Times New Roman" w:hAnsi="Times New Roman"/>
          <w:b w:val="0"/>
          <w:color w:val="auto"/>
        </w:rPr>
        <w:t>далее - Администрация, уполномоченная</w:t>
      </w:r>
      <w:r w:rsidRPr="009961C6">
        <w:rPr>
          <w:rFonts w:ascii="Times New Roman" w:hAnsi="Times New Roman"/>
          <w:b w:val="0"/>
          <w:color w:val="auto"/>
        </w:rPr>
        <w:t xml:space="preserve"> выдавать </w:t>
      </w:r>
      <w:r w:rsidRPr="009118AF">
        <w:rPr>
          <w:rFonts w:ascii="Times New Roman" w:hAnsi="Times New Roman"/>
          <w:b w:val="0"/>
          <w:color w:val="auto"/>
        </w:rPr>
        <w:t>з</w:t>
      </w:r>
      <w:r w:rsidRPr="009118AF">
        <w:rPr>
          <w:rFonts w:ascii="Times New Roman" w:hAnsi="Times New Roman"/>
          <w:b w:val="0"/>
          <w:color w:val="auto"/>
        </w:rPr>
        <w:t>а</w:t>
      </w:r>
      <w:r w:rsidRPr="009118AF">
        <w:rPr>
          <w:rFonts w:ascii="Times New Roman" w:hAnsi="Times New Roman"/>
          <w:b w:val="0"/>
          <w:color w:val="auto"/>
        </w:rPr>
        <w:t>ключения).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ется следующая информация: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</w:t>
      </w:r>
      <w:r w:rsidRPr="004568EA">
        <w:rPr>
          <w:rFonts w:ascii="Times New Roman" w:hAnsi="Times New Roman"/>
          <w:sz w:val="28"/>
          <w:szCs w:val="28"/>
        </w:rPr>
        <w:t>г</w:t>
      </w:r>
      <w:r w:rsidRPr="004568EA">
        <w:rPr>
          <w:rFonts w:ascii="Times New Roman" w:hAnsi="Times New Roman"/>
          <w:sz w:val="28"/>
          <w:szCs w:val="28"/>
        </w:rPr>
        <w:t>ламента;</w:t>
      </w:r>
    </w:p>
    <w:p w:rsidR="00751A67" w:rsidRPr="004568EA" w:rsidRDefault="00751A67" w:rsidP="00751A67">
      <w:pPr>
        <w:pStyle w:val="2"/>
        <w:ind w:firstLine="709"/>
        <w:jc w:val="both"/>
        <w:rPr>
          <w:b w:val="0"/>
          <w:color w:val="auto"/>
        </w:rPr>
      </w:pPr>
      <w:r w:rsidRPr="009961C6">
        <w:rPr>
          <w:rFonts w:ascii="Times New Roman" w:hAnsi="Times New Roman"/>
          <w:b w:val="0"/>
          <w:color w:val="auto"/>
        </w:rPr>
        <w:t>образец заявления о выдаче документов</w:t>
      </w:r>
      <w:r w:rsidRPr="004568EA">
        <w:rPr>
          <w:b w:val="0"/>
          <w:color w:val="auto"/>
        </w:rPr>
        <w:t xml:space="preserve"> (</w:t>
      </w:r>
      <w:r w:rsidRPr="009961C6">
        <w:rPr>
          <w:rFonts w:ascii="Times New Roman" w:hAnsi="Times New Roman"/>
          <w:b w:val="0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9961C6">
        <w:rPr>
          <w:b w:val="0"/>
          <w:color w:val="auto"/>
        </w:rPr>
        <w:t>);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просам предоставления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ляются: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достоверность и полнота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доставляемой информации;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ги: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ны предоставить следующую информацию: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сведения о порядке предоставления муниципальной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адресах сайта и электронной почты Исполнителя;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</w:t>
      </w:r>
      <w:r w:rsidRPr="004568EA">
        <w:rPr>
          <w:rFonts w:ascii="Times New Roman" w:hAnsi="Times New Roman"/>
          <w:sz w:val="28"/>
          <w:szCs w:val="28"/>
        </w:rPr>
        <w:t>ь</w:t>
      </w:r>
      <w:r w:rsidRPr="004568EA">
        <w:rPr>
          <w:rFonts w:ascii="Times New Roman" w:hAnsi="Times New Roman"/>
          <w:sz w:val="28"/>
          <w:szCs w:val="28"/>
        </w:rPr>
        <w:t>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лендарных дней со дня регистрации такого запроса.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ной форме, так и в форме электронного сообщения в срок, не превышающий 30 кале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дарных дней со дня регистрации запроса.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8EA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51A67" w:rsidRPr="004568EA" w:rsidRDefault="00751A67" w:rsidP="00751A67">
      <w:pPr>
        <w:spacing w:after="0" w:line="240" w:lineRule="auto"/>
        <w:ind w:left="900"/>
        <w:rPr>
          <w:rFonts w:ascii="Times New Roman" w:hAnsi="Times New Roman"/>
          <w:bCs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Наименование муниципальной услуги</w:t>
      </w:r>
    </w:p>
    <w:p w:rsidR="00751A67" w:rsidRPr="004568EA" w:rsidRDefault="00751A67" w:rsidP="00751A6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9. </w:t>
      </w:r>
      <w:r w:rsidRPr="004568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предоставляющего  м</w:t>
      </w:r>
      <w:r w:rsidRPr="004568EA">
        <w:rPr>
          <w:rFonts w:ascii="Times New Roman" w:hAnsi="Times New Roman"/>
          <w:bCs/>
          <w:sz w:val="28"/>
          <w:szCs w:val="28"/>
        </w:rPr>
        <w:t>у</w:t>
      </w:r>
      <w:r w:rsidRPr="004568EA">
        <w:rPr>
          <w:rFonts w:ascii="Times New Roman" w:hAnsi="Times New Roman"/>
          <w:bCs/>
          <w:sz w:val="28"/>
          <w:szCs w:val="28"/>
        </w:rPr>
        <w:t>ниципальную услугу</w:t>
      </w:r>
    </w:p>
    <w:p w:rsidR="00751A67" w:rsidRPr="004568EA" w:rsidRDefault="00751A67" w:rsidP="00751A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A67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>Администрация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 xml:space="preserve"> (далее – Исполнитель). </w:t>
      </w:r>
    </w:p>
    <w:p w:rsidR="00751A67" w:rsidRPr="004568EA" w:rsidRDefault="00751A67" w:rsidP="00751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Описание результата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ния муниципальной услуги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11. Результатом предоставления муниципальной услуги является выдача </w:t>
      </w:r>
      <w:r w:rsidRPr="004568EA">
        <w:rPr>
          <w:rFonts w:ascii="Times New Roman" w:hAnsi="Times New Roman"/>
          <w:bCs/>
          <w:sz w:val="28"/>
          <w:szCs w:val="28"/>
        </w:rPr>
        <w:t>решения о переводе или об отказе  в переводе жилого помещения в нежилое или нежилого в жилое помещение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751A67" w:rsidRPr="00065F5D" w:rsidRDefault="00751A67" w:rsidP="00751A67">
      <w:pPr>
        <w:pStyle w:val="a3"/>
        <w:spacing w:line="240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751A67" w:rsidRPr="00065F5D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12. Срок предоставления муниципальной услуги составляет не более 30 дней со дня получения заявления о переводе жилого помещения в нежилое или нежилого в жилое помещение. </w:t>
      </w:r>
    </w:p>
    <w:p w:rsidR="00751A67" w:rsidRPr="004568EA" w:rsidRDefault="00751A67" w:rsidP="00751A67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751A67" w:rsidRPr="004568EA" w:rsidRDefault="00751A67" w:rsidP="00751A67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lastRenderedPageBreak/>
        <w:t>Перечень нормативных правовых актов, регулирующих  отношения, возникающие в связи с предоставлением муниципальной у</w:t>
      </w:r>
      <w:r w:rsidRPr="004568EA">
        <w:rPr>
          <w:rFonts w:ascii="Times New Roman" w:hAnsi="Times New Roman"/>
          <w:bCs/>
          <w:sz w:val="28"/>
          <w:szCs w:val="28"/>
        </w:rPr>
        <w:t>с</w:t>
      </w:r>
      <w:r w:rsidRPr="004568EA">
        <w:rPr>
          <w:rFonts w:ascii="Times New Roman" w:hAnsi="Times New Roman"/>
          <w:bCs/>
          <w:sz w:val="28"/>
          <w:szCs w:val="28"/>
        </w:rPr>
        <w:t>луги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13. Предоставление муниципальной услуги осуществляется в соответствии с нормативными правовыми актами: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751A67" w:rsidRPr="004568EA" w:rsidRDefault="00751A67" w:rsidP="00751A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13 августа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</w:t>
      </w:r>
      <w:r w:rsidRPr="004568EA">
        <w:rPr>
          <w:rFonts w:ascii="Times New Roman" w:hAnsi="Times New Roman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 2006 года, № 34, ст. 3680);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751A67" w:rsidRPr="004568EA" w:rsidRDefault="00751A67" w:rsidP="00751A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751A67" w:rsidRPr="00B56063" w:rsidRDefault="00751A67" w:rsidP="00751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56063">
        <w:rPr>
          <w:rFonts w:ascii="Times New Roman" w:hAnsi="Times New Roman"/>
          <w:sz w:val="28"/>
          <w:szCs w:val="28"/>
        </w:rPr>
        <w:t>Уставом городского поселения «Шилкинское» № 10 от 08.07.2005г.</w:t>
      </w:r>
    </w:p>
    <w:p w:rsidR="00751A67" w:rsidRPr="00B56063" w:rsidRDefault="00751A67" w:rsidP="00751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6063"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актами, регулирующими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6063">
        <w:rPr>
          <w:rFonts w:ascii="Times New Roman" w:hAnsi="Times New Roman"/>
          <w:sz w:val="28"/>
          <w:szCs w:val="28"/>
        </w:rPr>
        <w:t>правоотношения в данной сфере;</w:t>
      </w:r>
    </w:p>
    <w:p w:rsidR="00751A67" w:rsidRPr="00485CC8" w:rsidRDefault="00751A67" w:rsidP="00751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CC8">
        <w:rPr>
          <w:rFonts w:ascii="Times New Roman" w:hAnsi="Times New Roman"/>
          <w:sz w:val="28"/>
          <w:szCs w:val="28"/>
        </w:rPr>
        <w:lastRenderedPageBreak/>
        <w:t>настоящим Административным регламентом.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color w:val="auto"/>
          <w:sz w:val="28"/>
          <w:szCs w:val="28"/>
        </w:rPr>
        <w:t xml:space="preserve">14. 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 xml:space="preserve">заявление о переводе помещения (примерная форма дана в </w:t>
      </w:r>
      <w:hyperlink r:id="rId7" w:history="1">
        <w:r w:rsidRPr="004568E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568EA">
          <w:rPr>
            <w:rFonts w:ascii="Times New Roman" w:hAnsi="Times New Roman"/>
            <w:sz w:val="28"/>
            <w:szCs w:val="28"/>
          </w:rPr>
          <w:t>2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</w:t>
      </w:r>
      <w:r w:rsidRPr="004568EA">
        <w:rPr>
          <w:rFonts w:ascii="Times New Roman" w:hAnsi="Times New Roman"/>
          <w:sz w:val="28"/>
          <w:szCs w:val="28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ганов, органов местного самоуправления  и иных органов, участвующих в предо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065F5D">
        <w:rPr>
          <w:rFonts w:ascii="Times New Roman" w:hAnsi="Times New Roman"/>
          <w:b w:val="0"/>
          <w:bCs w:val="0"/>
          <w:color w:val="auto"/>
          <w:sz w:val="28"/>
          <w:szCs w:val="28"/>
        </w:rPr>
        <w:t>вить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4568EA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 (подлинники или засвидетельствованны</w:t>
      </w:r>
      <w:r>
        <w:rPr>
          <w:rFonts w:ascii="Times New Roman" w:hAnsi="Times New Roman"/>
          <w:sz w:val="28"/>
          <w:szCs w:val="28"/>
        </w:rPr>
        <w:t>е в нотариальном порядке копии).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П</w:t>
      </w:r>
      <w:r w:rsidRPr="004568EA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>
        <w:rPr>
          <w:rFonts w:ascii="Times New Roman" w:hAnsi="Times New Roman"/>
          <w:sz w:val="28"/>
          <w:szCs w:val="28"/>
        </w:rPr>
        <w:t>еский паспорт жилого помещения).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П</w:t>
      </w:r>
      <w:r w:rsidRPr="004568EA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помещение.</w:t>
      </w:r>
    </w:p>
    <w:p w:rsidR="00751A67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568EA">
        <w:rPr>
          <w:rFonts w:ascii="Times New Roman" w:hAnsi="Times New Roman"/>
          <w:sz w:val="28"/>
          <w:szCs w:val="28"/>
        </w:rPr>
        <w:t>одготовленный и оформленный в установленном порядке проект переустройства.</w:t>
      </w:r>
    </w:p>
    <w:p w:rsidR="00751A67" w:rsidRPr="00FA2E62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Исполнитель не вправе требовать от заявителя:</w:t>
      </w:r>
    </w:p>
    <w:p w:rsidR="00751A67" w:rsidRPr="00FA2E62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</w:t>
      </w:r>
      <w:r>
        <w:rPr>
          <w:rFonts w:ascii="Times New Roman" w:hAnsi="Times New Roman"/>
          <w:sz w:val="28"/>
          <w:szCs w:val="28"/>
        </w:rPr>
        <w:t>ителю по собственной инициативе.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</w:t>
      </w:r>
      <w:r w:rsidRPr="004568EA">
        <w:rPr>
          <w:rFonts w:ascii="Times New Roman" w:hAnsi="Times New Roman"/>
          <w:sz w:val="28"/>
          <w:szCs w:val="28"/>
        </w:rPr>
        <w:t>б</w:t>
      </w:r>
      <w:r w:rsidRPr="004568EA">
        <w:rPr>
          <w:rFonts w:ascii="Times New Roman" w:hAnsi="Times New Roman"/>
          <w:sz w:val="28"/>
          <w:szCs w:val="28"/>
        </w:rPr>
        <w:t>ходимых для предоставления муниципальной услуги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Оснований для отказа в при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ме заявлений не имеется.</w:t>
      </w:r>
    </w:p>
    <w:p w:rsidR="00751A67" w:rsidRPr="004568EA" w:rsidRDefault="00751A67" w:rsidP="00751A67">
      <w:pPr>
        <w:pStyle w:val="a3"/>
        <w:tabs>
          <w:tab w:val="num" w:pos="0"/>
        </w:tabs>
        <w:spacing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доставлении муниципальной услуг</w:t>
      </w:r>
      <w:r>
        <w:rPr>
          <w:rFonts w:ascii="Times New Roman" w:hAnsi="Times New Roman"/>
          <w:sz w:val="28"/>
          <w:szCs w:val="28"/>
        </w:rPr>
        <w:t>и</w:t>
      </w:r>
    </w:p>
    <w:p w:rsidR="00751A67" w:rsidRPr="004568EA" w:rsidRDefault="00751A67" w:rsidP="00751A67">
      <w:pPr>
        <w:pStyle w:val="a3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20. Основания для приостановления муниципальной услуги отсутств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ют.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21. Основанием для отказа в предоставлении муниципальной услуги я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ляется: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r:id="rId9" w:history="1">
        <w:r w:rsidRPr="004568EA">
          <w:rPr>
            <w:rFonts w:ascii="Times New Roman" w:hAnsi="Times New Roman"/>
            <w:sz w:val="28"/>
            <w:szCs w:val="28"/>
          </w:rPr>
          <w:t>пункте 14</w:t>
        </w:r>
      </w:hyperlink>
      <w:r w:rsidRPr="004568E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4568EA">
        <w:rPr>
          <w:rFonts w:ascii="Times New Roman" w:hAnsi="Times New Roman"/>
          <w:sz w:val="28"/>
          <w:szCs w:val="28"/>
        </w:rPr>
        <w:t>регламента;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0" w:history="1">
        <w:r w:rsidRPr="004568E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568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751A67" w:rsidRPr="004568EA" w:rsidRDefault="00751A67" w:rsidP="00751A6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</w:t>
      </w:r>
      <w:r w:rsidRPr="00065F5D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065F5D">
        <w:rPr>
          <w:rFonts w:ascii="Times New Roman" w:hAnsi="Times New Roman"/>
          <w:b w:val="0"/>
          <w:color w:val="auto"/>
          <w:sz w:val="28"/>
          <w:szCs w:val="28"/>
        </w:rPr>
        <w:t>луги</w:t>
      </w:r>
    </w:p>
    <w:p w:rsidR="00751A67" w:rsidRPr="00065F5D" w:rsidRDefault="00751A67" w:rsidP="00751A67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51A67" w:rsidRPr="00065F5D" w:rsidRDefault="00751A67" w:rsidP="00751A67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F5D">
        <w:rPr>
          <w:rFonts w:ascii="Times New Roman" w:hAnsi="Times New Roman"/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</w:t>
      </w:r>
      <w:r w:rsidRPr="00065F5D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065F5D">
        <w:rPr>
          <w:rFonts w:ascii="Times New Roman" w:hAnsi="Times New Roman"/>
          <w:b w:val="0"/>
          <w:color w:val="auto"/>
          <w:sz w:val="28"/>
          <w:szCs w:val="28"/>
        </w:rPr>
        <w:t>луги, не предусмотрен действующим законодательством.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1A67" w:rsidRPr="004568EA" w:rsidRDefault="00751A67" w:rsidP="00751A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23.</w:t>
      </w:r>
      <w:r w:rsidRPr="00456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нии муниципальной услуги, услуги, предоставляемой организацией, учас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вующей в предоставлении муниципальной услуги, и при получении резул</w:t>
      </w:r>
      <w:r w:rsidRPr="004568EA">
        <w:rPr>
          <w:rFonts w:ascii="Times New Roman" w:hAnsi="Times New Roman"/>
          <w:sz w:val="28"/>
          <w:szCs w:val="28"/>
        </w:rPr>
        <w:t>ь</w:t>
      </w:r>
      <w:r w:rsidRPr="004568EA">
        <w:rPr>
          <w:rFonts w:ascii="Times New Roman" w:hAnsi="Times New Roman"/>
          <w:sz w:val="28"/>
          <w:szCs w:val="28"/>
        </w:rPr>
        <w:t>тата предоставления таких услуг</w:t>
      </w:r>
    </w:p>
    <w:p w:rsidR="00751A67" w:rsidRPr="004568EA" w:rsidRDefault="00751A67" w:rsidP="00751A67">
      <w:pPr>
        <w:pStyle w:val="a3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4568E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4568EA">
        <w:rPr>
          <w:rFonts w:ascii="Times New Roman" w:hAnsi="Times New Roman" w:cs="Times New Roman"/>
          <w:sz w:val="28"/>
          <w:szCs w:val="28"/>
        </w:rPr>
        <w:t>у</w:t>
      </w:r>
      <w:r w:rsidRPr="004568EA">
        <w:rPr>
          <w:rFonts w:ascii="Times New Roman" w:hAnsi="Times New Roman" w:cs="Times New Roman"/>
          <w:sz w:val="28"/>
          <w:szCs w:val="28"/>
        </w:rPr>
        <w:t>ментов заявителями не должно превышать 15 минут.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пальной услуги, в том числе в электронной форме</w:t>
      </w:r>
    </w:p>
    <w:p w:rsidR="00751A67" w:rsidRPr="004568EA" w:rsidRDefault="00751A67" w:rsidP="00751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пления.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</w:t>
      </w:r>
      <w:r w:rsidRPr="004568EA">
        <w:rPr>
          <w:rFonts w:ascii="Times New Roman" w:hAnsi="Times New Roman"/>
          <w:sz w:val="28"/>
          <w:szCs w:val="28"/>
        </w:rPr>
        <w:t>з</w:t>
      </w:r>
      <w:r w:rsidRPr="004568EA">
        <w:rPr>
          <w:rFonts w:ascii="Times New Roman" w:hAnsi="Times New Roman"/>
          <w:sz w:val="28"/>
          <w:szCs w:val="28"/>
        </w:rPr>
        <w:t>водство, в день его поступления.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тооборота в органах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ления таких услуг</w:t>
      </w:r>
    </w:p>
    <w:p w:rsidR="00751A67" w:rsidRPr="004568EA" w:rsidRDefault="00751A67" w:rsidP="00751A67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28. Прием граждан осуществляется в специально выделенных для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доставления муниципальных услуг помещениях.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29. Помещения содержат места для ожидания, приема и информиров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ния граждан, оборудуются в соответствии с санитарными правилами и но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ния, приема/выдачи документов и т.д.).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Входы в помещения образовательных организаций, органов местного самоуправления муниципальных районов и городских округов оборудуются </w:t>
      </w:r>
      <w:r w:rsidRPr="004568EA">
        <w:rPr>
          <w:rFonts w:ascii="Times New Roman" w:hAnsi="Times New Roman"/>
          <w:sz w:val="28"/>
          <w:szCs w:val="28"/>
        </w:rPr>
        <w:lastRenderedPageBreak/>
        <w:t>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циалистов Исполнителя. Количество мест ожидания определяется исходя из фактической нагрузки и возможности для их размещения в здании, но не может с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 xml:space="preserve">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 xml:space="preserve"> мест. 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43"/>
      <w:r w:rsidRPr="004568EA">
        <w:rPr>
          <w:rFonts w:ascii="Times New Roman" w:hAnsi="Times New Roman"/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мещения оборудуются соответствующими указателями.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32. Рабочие места должностных лиц, ответственных за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вами телефонной связи.</w:t>
      </w:r>
    </w:p>
    <w:bookmarkEnd w:id="0"/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гих документов.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33. Места информирования, предназначенные для ознакомления заяв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телей с информационными материалами, оборудуются: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C912AF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36. Исполнитель должен быть оснащен рабочими местами с дост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пом к автоматизированным информационным системам обеспечива</w:t>
      </w:r>
      <w:r w:rsidRPr="004568EA">
        <w:rPr>
          <w:rFonts w:ascii="Times New Roman" w:hAnsi="Times New Roman"/>
          <w:sz w:val="28"/>
          <w:szCs w:val="28"/>
        </w:rPr>
        <w:t>ю</w:t>
      </w:r>
      <w:r w:rsidRPr="004568EA">
        <w:rPr>
          <w:rFonts w:ascii="Times New Roman" w:hAnsi="Times New Roman"/>
          <w:sz w:val="28"/>
          <w:szCs w:val="28"/>
        </w:rPr>
        <w:t>щим: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пальных услуг Забайкальского края»;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б) формирование межведомственных запросов в государственные органы, органы местного самоуправления и (или) подведомственные госуда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ственным органам и органам местного самоуправления организации, учас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вующие в предоставлении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в) ведение и хранение дела заявителя в электронной форме;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г) предоставление по запросу заявителя сведений о ходе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д) предоставление сведений по межведомственному запросу государс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венных органов, органов местного самоуправления и (или) подведомстве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ных государственным органам и органам местного самоуправления орган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заций, участвующие в предоставлении государственных или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пальных услуг.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751A67" w:rsidRPr="004568EA" w:rsidRDefault="00751A67" w:rsidP="00751A67">
      <w:pPr>
        <w:pStyle w:val="a3"/>
        <w:spacing w:line="240" w:lineRule="auto"/>
        <w:ind w:firstLine="709"/>
        <w:rPr>
          <w:b w:val="0"/>
          <w:bCs w:val="0"/>
          <w:color w:val="auto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3"/>
      <w:r w:rsidRPr="004568EA">
        <w:rPr>
          <w:rFonts w:ascii="Times New Roman" w:hAnsi="Times New Roman"/>
          <w:sz w:val="28"/>
          <w:szCs w:val="28"/>
        </w:rPr>
        <w:t>37. Показатели доступности и качества муниципальной у</w:t>
      </w:r>
      <w:r w:rsidRPr="004568EA">
        <w:rPr>
          <w:rFonts w:ascii="Times New Roman" w:hAnsi="Times New Roman"/>
          <w:sz w:val="28"/>
          <w:szCs w:val="28"/>
        </w:rPr>
        <w:t>с</w:t>
      </w:r>
      <w:r w:rsidRPr="004568EA">
        <w:rPr>
          <w:rFonts w:ascii="Times New Roman" w:hAnsi="Times New Roman"/>
          <w:sz w:val="28"/>
          <w:szCs w:val="28"/>
        </w:rPr>
        <w:t>луги</w:t>
      </w:r>
    </w:p>
    <w:bookmarkEnd w:id="1"/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ся: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точное соблюдение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4568EA">
        <w:rPr>
          <w:rFonts w:ascii="Times New Roman" w:hAnsi="Times New Roman"/>
          <w:sz w:val="28"/>
          <w:szCs w:val="28"/>
        </w:rPr>
        <w:t>дминистративн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го регламента при предоставлении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</w:t>
      </w:r>
      <w:r w:rsidRPr="004568EA">
        <w:rPr>
          <w:rFonts w:ascii="Times New Roman" w:hAnsi="Times New Roman" w:cs="Times New Roman"/>
          <w:sz w:val="28"/>
          <w:szCs w:val="28"/>
        </w:rPr>
        <w:t>с</w:t>
      </w:r>
      <w:r w:rsidRPr="004568EA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</w:t>
      </w:r>
      <w:r w:rsidRPr="004568EA">
        <w:rPr>
          <w:rFonts w:ascii="Times New Roman" w:hAnsi="Times New Roman" w:cs="Times New Roman"/>
          <w:sz w:val="28"/>
          <w:szCs w:val="28"/>
        </w:rPr>
        <w:t>т</w:t>
      </w:r>
      <w:r w:rsidRPr="004568EA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</w:t>
      </w:r>
      <w:r w:rsidRPr="004568EA">
        <w:rPr>
          <w:rFonts w:ascii="Times New Roman" w:hAnsi="Times New Roman" w:cs="Times New Roman"/>
          <w:sz w:val="28"/>
          <w:szCs w:val="28"/>
        </w:rPr>
        <w:t>а</w:t>
      </w:r>
      <w:r w:rsidRPr="004568EA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4568EA">
        <w:rPr>
          <w:rFonts w:ascii="Times New Roman" w:hAnsi="Times New Roman" w:cs="Times New Roman"/>
          <w:sz w:val="28"/>
          <w:szCs w:val="28"/>
        </w:rPr>
        <w:t>ь</w:t>
      </w:r>
      <w:r w:rsidRPr="004568EA">
        <w:rPr>
          <w:rFonts w:ascii="Times New Roman" w:hAnsi="Times New Roman" w:cs="Times New Roman"/>
          <w:sz w:val="28"/>
          <w:szCs w:val="28"/>
        </w:rPr>
        <w:t>ной услуги;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</w:t>
      </w:r>
      <w:r w:rsidRPr="004568EA">
        <w:rPr>
          <w:rFonts w:ascii="Times New Roman" w:hAnsi="Times New Roman" w:cs="Times New Roman"/>
          <w:sz w:val="28"/>
          <w:szCs w:val="28"/>
        </w:rPr>
        <w:t>а</w:t>
      </w:r>
      <w:r w:rsidRPr="004568EA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751A67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взаимодействие Исполнителя с органами государственной власти, органами местного самоуправления и (или) подведомственными государстве</w:t>
      </w:r>
      <w:r w:rsidRPr="004568EA">
        <w:rPr>
          <w:rFonts w:ascii="Times New Roman" w:hAnsi="Times New Roman" w:cs="Times New Roman"/>
          <w:sz w:val="28"/>
          <w:szCs w:val="28"/>
        </w:rPr>
        <w:t>н</w:t>
      </w:r>
      <w:r w:rsidRPr="004568EA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участвующими в предоставлении государственных или муниципальных у</w:t>
      </w:r>
      <w:r w:rsidRPr="004568EA">
        <w:rPr>
          <w:rFonts w:ascii="Times New Roman" w:hAnsi="Times New Roman" w:cs="Times New Roman"/>
          <w:sz w:val="28"/>
          <w:szCs w:val="28"/>
        </w:rPr>
        <w:t>с</w:t>
      </w:r>
      <w:r w:rsidRPr="004568EA">
        <w:rPr>
          <w:rFonts w:ascii="Times New Roman" w:hAnsi="Times New Roman" w:cs="Times New Roman"/>
          <w:sz w:val="28"/>
          <w:szCs w:val="28"/>
        </w:rPr>
        <w:t xml:space="preserve">луг, или органами, предоставляющими услуги, через </w:t>
      </w:r>
      <w:r w:rsidRPr="004568EA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без участия заявителя в соответствии с нормативными правовыми а</w:t>
      </w:r>
      <w:r w:rsidRPr="004568EA">
        <w:rPr>
          <w:rFonts w:ascii="Times New Roman" w:hAnsi="Times New Roman" w:cs="Times New Roman"/>
          <w:sz w:val="28"/>
          <w:szCs w:val="28"/>
        </w:rPr>
        <w:t>к</w:t>
      </w:r>
      <w:r w:rsidRPr="004568EA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751A67" w:rsidRPr="004568EA" w:rsidRDefault="00751A67" w:rsidP="00751A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751A67" w:rsidRPr="00E11D82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</w:t>
      </w:r>
      <w:r w:rsidRPr="00E11D82">
        <w:rPr>
          <w:rFonts w:ascii="Times New Roman" w:hAnsi="Times New Roman" w:cs="Times New Roman"/>
          <w:sz w:val="28"/>
          <w:szCs w:val="28"/>
        </w:rPr>
        <w:t>ронной форме;</w:t>
      </w:r>
    </w:p>
    <w:p w:rsidR="00751A67" w:rsidRPr="00E11D82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услуги;</w:t>
      </w:r>
    </w:p>
    <w:p w:rsidR="00751A67" w:rsidRPr="00E11D82" w:rsidRDefault="00751A67" w:rsidP="00751A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1D82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751A67" w:rsidRPr="00E11D82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751A67" w:rsidRPr="004568EA" w:rsidTr="0032607A">
        <w:trPr>
          <w:trHeight w:val="1710"/>
        </w:trPr>
        <w:tc>
          <w:tcPr>
            <w:tcW w:w="566" w:type="dxa"/>
            <w:vMerge w:val="restart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дующих случаях</w:t>
            </w:r>
          </w:p>
        </w:tc>
        <w:tc>
          <w:tcPr>
            <w:tcW w:w="2409" w:type="dxa"/>
            <w:gridSpan w:val="3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751A67" w:rsidRPr="004568EA" w:rsidTr="0032607A">
        <w:trPr>
          <w:trHeight w:val="1420"/>
        </w:trPr>
        <w:tc>
          <w:tcPr>
            <w:tcW w:w="566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</w:p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751A67" w:rsidRPr="004568EA" w:rsidTr="0032607A">
        <w:trPr>
          <w:trHeight w:val="870"/>
        </w:trPr>
        <w:tc>
          <w:tcPr>
            <w:tcW w:w="566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</w:tr>
      <w:tr w:rsidR="00751A67" w:rsidRPr="004568EA" w:rsidTr="0032607A">
        <w:trPr>
          <w:trHeight w:val="810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Заявление о переводе помещения (</w:t>
            </w:r>
            <w:hyperlink r:id="rId11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hyperlink r:id="rId12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пр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стой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 Документ, подписанный пр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стой ЭЦП</w:t>
            </w:r>
          </w:p>
        </w:tc>
      </w:tr>
      <w:tr w:rsidR="00751A67" w:rsidRPr="004568EA" w:rsidTr="0032607A">
        <w:trPr>
          <w:trHeight w:val="940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теля (представителя)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751A67" w:rsidRPr="004568EA" w:rsidTr="0032607A">
        <w:trPr>
          <w:trHeight w:val="556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751A67" w:rsidRPr="004568EA" w:rsidTr="0032607A">
        <w:trPr>
          <w:trHeight w:val="556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Подли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ники или засв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детельствова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ные в нотариал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ном п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рядке копии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</w:tr>
      <w:tr w:rsidR="00751A67" w:rsidRPr="004568EA" w:rsidTr="0032607A">
        <w:trPr>
          <w:trHeight w:val="556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751A67" w:rsidRPr="004568EA" w:rsidTr="0032607A">
        <w:trPr>
          <w:trHeight w:val="556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ind w:righ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Поэтажный план дома, в котором находится п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реводимое помещение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751A67" w:rsidRPr="004568EA" w:rsidTr="0032607A">
        <w:trPr>
          <w:trHeight w:val="1124"/>
        </w:trPr>
        <w:tc>
          <w:tcPr>
            <w:tcW w:w="56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3" w:type="dxa"/>
            <w:hideMark/>
          </w:tcPr>
          <w:p w:rsidR="00751A67" w:rsidRPr="004568EA" w:rsidRDefault="00751A67" w:rsidP="0032607A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Подготовленный и оформленный в устано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ленном порядке проект переустройства</w:t>
            </w:r>
          </w:p>
        </w:tc>
        <w:tc>
          <w:tcPr>
            <w:tcW w:w="99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тельно </w:t>
            </w:r>
          </w:p>
        </w:tc>
        <w:tc>
          <w:tcPr>
            <w:tcW w:w="863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751A67" w:rsidRPr="004568EA" w:rsidRDefault="00751A67" w:rsidP="0032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  <w:bookmarkEnd w:id="2"/>
          </w:p>
        </w:tc>
      </w:tr>
    </w:tbl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751A67" w:rsidRPr="004568EA" w:rsidRDefault="00751A67" w:rsidP="00751A6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568EA">
        <w:rPr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</w:t>
      </w:r>
      <w:r>
        <w:rPr>
          <w:color w:val="auto"/>
          <w:sz w:val="28"/>
          <w:szCs w:val="28"/>
        </w:rPr>
        <w:t>)</w:t>
      </w:r>
      <w:r w:rsidRPr="004568EA">
        <w:rPr>
          <w:color w:val="auto"/>
          <w:sz w:val="28"/>
          <w:szCs w:val="28"/>
        </w:rPr>
        <w:t xml:space="preserve"> </w:t>
      </w:r>
    </w:p>
    <w:p w:rsidR="00751A67" w:rsidRPr="004568EA" w:rsidRDefault="00751A67" w:rsidP="00751A6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>41.</w:t>
      </w:r>
      <w:r w:rsidRPr="00B822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Основанием для начала предоставления муниципальной услуги является запрос заявителя.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42. Предоставление муниципальной услуги включает в себя следу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ю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щие административные процедуры: 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751A67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</w:t>
      </w:r>
      <w:r w:rsidRPr="004568EA">
        <w:rPr>
          <w:rFonts w:ascii="Times New Roman" w:hAnsi="Times New Roman" w:cs="Times New Roman"/>
          <w:sz w:val="28"/>
          <w:szCs w:val="28"/>
        </w:rPr>
        <w:t>з</w:t>
      </w:r>
      <w:r w:rsidRPr="004568EA">
        <w:rPr>
          <w:rFonts w:ascii="Times New Roman" w:hAnsi="Times New Roman" w:cs="Times New Roman"/>
          <w:sz w:val="28"/>
          <w:szCs w:val="28"/>
        </w:rPr>
        <w:t>решения либо уведомления Заявителя</w:t>
      </w:r>
      <w:r w:rsidRPr="0045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69B">
        <w:rPr>
          <w:rFonts w:ascii="Times New Roman" w:hAnsi="Times New Roman" w:cs="Times New Roman"/>
          <w:sz w:val="28"/>
          <w:szCs w:val="28"/>
        </w:rPr>
        <w:t>ринятие решение о предоставлении муниципальной услуги или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A67" w:rsidRPr="004568EA" w:rsidRDefault="00751A67" w:rsidP="0075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69B">
        <w:rPr>
          <w:rFonts w:ascii="Times New Roman" w:hAnsi="Times New Roman" w:cs="Times New Roman"/>
          <w:sz w:val="28"/>
          <w:szCs w:val="28"/>
        </w:rPr>
        <w:t>ыдача докумен</w:t>
      </w:r>
      <w:r>
        <w:rPr>
          <w:rFonts w:ascii="Times New Roman" w:hAnsi="Times New Roman" w:cs="Times New Roman"/>
          <w:sz w:val="28"/>
          <w:szCs w:val="28"/>
        </w:rPr>
        <w:t xml:space="preserve">тов либо уведомления заявителя </w:t>
      </w:r>
      <w:r w:rsidRPr="003F069B">
        <w:rPr>
          <w:rFonts w:ascii="Times New Roman" w:hAnsi="Times New Roman" w:cs="Times New Roman"/>
          <w:sz w:val="28"/>
          <w:szCs w:val="28"/>
        </w:rPr>
        <w:t>об отказе в их получении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56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4568EA">
        <w:rPr>
          <w:rFonts w:ascii="Times New Roman" w:hAnsi="Times New Roman" w:cs="Times New Roman"/>
          <w:sz w:val="28"/>
          <w:szCs w:val="28"/>
        </w:rPr>
        <w:t>регламенту.</w:t>
      </w:r>
    </w:p>
    <w:p w:rsidR="00751A67" w:rsidRPr="00B822BB" w:rsidRDefault="00751A67" w:rsidP="00751A67">
      <w:pPr>
        <w:pStyle w:val="a3"/>
        <w:spacing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>Прием и регистрация заявления и документов, представле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 xml:space="preserve">ных </w:t>
      </w: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 xml:space="preserve">заявителем </w:t>
      </w:r>
    </w:p>
    <w:p w:rsidR="00751A67" w:rsidRPr="00B822BB" w:rsidRDefault="00751A67" w:rsidP="00751A67">
      <w:pPr>
        <w:pStyle w:val="a3"/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43. Основанием для начала предоставления муниципальной услуги - я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ляется подача Заявления с пакетом документов, предусмотренных пунктом 14 настоящего административного ре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ламента.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44.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45. Специалист принимает Заявление, фиксирует факт его получ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ния путем произведения записи в Журнале регистрации Заявлений, осуществляет проверку наличия всех документов, указанных в Заявл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нии. 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наличии всех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При отсутствии каких-либо документов, указанных в Заявлении, на Заявлении и его копии делается отметка об отсутствии документов, с указан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ем, какие документы отсутствуют.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46. Максимальный срок приема и регистрации Заявления и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тов, представленных  заявителем, не  должен превышать 30 минут. Принятые д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кументы  передаются  для визирования руководителю Исполнителя либо лицу, его замещающему, в течение того же рабочего дня.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47. Результатом данного административного действия является прием Заявления с пакетом документов, его регистрация.</w:t>
      </w:r>
    </w:p>
    <w:p w:rsidR="00751A67" w:rsidRPr="00B822BB" w:rsidRDefault="00751A67" w:rsidP="00751A67">
      <w:pPr>
        <w:pStyle w:val="a3"/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751A67" w:rsidRPr="00B822BB" w:rsidRDefault="00751A67" w:rsidP="00751A67">
      <w:pPr>
        <w:pStyle w:val="a3"/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я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ется секретарь межведомственной комиссии (далее - секретарь комиссии).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55. В течение трех рабочих дней со дня поступления Исполнителю, з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н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та, на предмет достоверности указанных сведений.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56. Должностное лицо, ответственное за предоставление муниципальной услуги, оформляет  межведомственные запросы необходимых док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у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ментов для предоставления муниципальной услуги, находящихся в распор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я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жении государственных органов, органов местного самоуправления.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57. 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Правоустанавливающие документы на жилое помещение (их к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пии или сведения, содержащиеся в них) по межведомственному запросу предо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тавляет Управление Федеральной службы государственной регистрации, к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дастра и картографии по Забайкальскому краю.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B822BB">
        <w:rPr>
          <w:rFonts w:ascii="Times New Roman" w:hAnsi="Times New Roman"/>
          <w:b w:val="0"/>
          <w:color w:val="auto"/>
          <w:sz w:val="28"/>
          <w:szCs w:val="28"/>
        </w:rPr>
        <w:t>ган, представляющий документ и (или) информацию.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 xml:space="preserve">59. 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ганов местного самоуправления.</w:t>
      </w:r>
    </w:p>
    <w:p w:rsidR="00751A67" w:rsidRPr="00B822BB" w:rsidRDefault="00751A67" w:rsidP="00751A67">
      <w:pPr>
        <w:pStyle w:val="a3"/>
        <w:spacing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>Принятие решение о предоставлении муниципальной услуги или отказе в ее предоставлении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60.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62. 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63. При наличии оснований для отказа в предоставлении муниципал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ь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ной услуги выдаче документов, указанных в пункте 21 настоящего администр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тивного регламента, в течение трех рабочих дней со дня поступления Заявления секретарь комиссии готовит уведомление заявителю об отк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 в выдаче документов с указанием причин отказа, и представляет руководителю Исполнителя или лицу его замещающему. </w:t>
      </w:r>
    </w:p>
    <w:p w:rsidR="00751A67" w:rsidRPr="00B822BB" w:rsidRDefault="00751A67" w:rsidP="0075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2BB">
        <w:rPr>
          <w:rFonts w:ascii="Times New Roman" w:hAnsi="Times New Roman"/>
          <w:sz w:val="28"/>
          <w:szCs w:val="28"/>
        </w:rPr>
        <w:t>64. Оформленные документы или уведомление заявителя об о</w:t>
      </w:r>
      <w:r w:rsidRPr="00B822BB">
        <w:rPr>
          <w:rFonts w:ascii="Times New Roman" w:hAnsi="Times New Roman"/>
          <w:sz w:val="28"/>
          <w:szCs w:val="28"/>
        </w:rPr>
        <w:t>т</w:t>
      </w:r>
      <w:r w:rsidRPr="00B822BB">
        <w:rPr>
          <w:rFonts w:ascii="Times New Roman" w:hAnsi="Times New Roman"/>
          <w:sz w:val="28"/>
          <w:szCs w:val="28"/>
        </w:rPr>
        <w:t>казе в его получении проверяются руководителем Исполнителя в течение одного р</w:t>
      </w:r>
      <w:r w:rsidRPr="00B822BB">
        <w:rPr>
          <w:rFonts w:ascii="Times New Roman" w:hAnsi="Times New Roman"/>
          <w:sz w:val="28"/>
          <w:szCs w:val="28"/>
        </w:rPr>
        <w:t>а</w:t>
      </w:r>
      <w:r w:rsidRPr="00B822BB">
        <w:rPr>
          <w:rFonts w:ascii="Times New Roman" w:hAnsi="Times New Roman"/>
          <w:sz w:val="28"/>
          <w:szCs w:val="28"/>
        </w:rPr>
        <w:t>бочего дня.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При отсутствии недостатков документы в тот же день передаются для подписания главе Администрации.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65. Результатом административной процедуры является подготовка документов или уведомления заявителя об отказе в его пол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у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чении.</w:t>
      </w: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751A67" w:rsidRPr="00B822BB" w:rsidRDefault="00751A67" w:rsidP="00751A67">
      <w:pPr>
        <w:pStyle w:val="a3"/>
        <w:spacing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color w:val="auto"/>
          <w:sz w:val="28"/>
          <w:szCs w:val="28"/>
        </w:rPr>
        <w:t xml:space="preserve">об отказе в их получении </w:t>
      </w:r>
    </w:p>
    <w:p w:rsidR="00751A67" w:rsidRPr="004568EA" w:rsidRDefault="00751A67" w:rsidP="00751A67">
      <w:pPr>
        <w:pStyle w:val="a3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66. Основанием для начала административной процедуры, является поступление с подписи решения о переводе или отказе в переводе жилого помещения в нежилое или нежилого помещения в жилое.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67. Должностным лицом, ответственным за выдачу документов либо уведомления заявителя об отказе в их получении, является глава Исполнителя.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68. Подготовленные документы либо уведомление заявителя об отказе в его получ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нии регистрируется в Журнале учета исходящей корреспонденции. 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69. Датой выдачи документов либо  уведомления заявителя об отк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зе в их получении, является дата регистрации в Журнале учета исходящей корреспонденции.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70. Максимальный срок выполнения данной административной проц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дуры составляет один рабочий день.</w:t>
      </w:r>
    </w:p>
    <w:p w:rsidR="00751A67" w:rsidRPr="00B822BB" w:rsidRDefault="00751A67" w:rsidP="00751A67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71. Результатом выполнения данной административной процедуры является выдача документов либо уведомления заявителя об отказе в их п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B822BB">
        <w:rPr>
          <w:rFonts w:ascii="Times New Roman" w:hAnsi="Times New Roman"/>
          <w:b w:val="0"/>
          <w:bCs w:val="0"/>
          <w:color w:val="auto"/>
          <w:sz w:val="28"/>
          <w:szCs w:val="28"/>
        </w:rPr>
        <w:t>лучении.</w:t>
      </w:r>
    </w:p>
    <w:p w:rsidR="00751A67" w:rsidRPr="004568EA" w:rsidRDefault="00751A67" w:rsidP="00751A6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751A67" w:rsidRPr="004568EA" w:rsidRDefault="00751A67" w:rsidP="00751A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41"/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72.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глава А</w:t>
      </w:r>
      <w:r w:rsidRPr="004568EA">
        <w:rPr>
          <w:rFonts w:ascii="Times New Roman" w:hAnsi="Times New Roman"/>
          <w:sz w:val="28"/>
          <w:szCs w:val="28"/>
        </w:rPr>
        <w:t>дминис</w:t>
      </w:r>
      <w:r>
        <w:rPr>
          <w:rFonts w:ascii="Times New Roman" w:hAnsi="Times New Roman"/>
          <w:sz w:val="28"/>
          <w:szCs w:val="28"/>
        </w:rPr>
        <w:t>трации</w:t>
      </w:r>
      <w:r w:rsidRPr="004568EA">
        <w:rPr>
          <w:rFonts w:ascii="Times New Roman" w:hAnsi="Times New Roman"/>
          <w:sz w:val="28"/>
          <w:szCs w:val="28"/>
        </w:rPr>
        <w:t xml:space="preserve">, его заместителем, курирующим соответствующее направление деятельности, </w:t>
      </w:r>
      <w:r>
        <w:rPr>
          <w:rFonts w:ascii="Times New Roman" w:hAnsi="Times New Roman"/>
          <w:sz w:val="28"/>
          <w:szCs w:val="28"/>
        </w:rPr>
        <w:t>главой</w:t>
      </w:r>
      <w:r w:rsidRPr="004568EA">
        <w:rPr>
          <w:rFonts w:ascii="Times New Roman" w:hAnsi="Times New Roman"/>
          <w:sz w:val="28"/>
          <w:szCs w:val="28"/>
        </w:rPr>
        <w:t xml:space="preserve"> Исполнителя.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73. Периодичность осуществления текущего контро</w:t>
      </w:r>
      <w:r>
        <w:rPr>
          <w:rFonts w:ascii="Times New Roman" w:hAnsi="Times New Roman" w:cs="Times New Roman"/>
          <w:sz w:val="28"/>
          <w:szCs w:val="28"/>
        </w:rPr>
        <w:t>ля устанавливается главой А</w:t>
      </w:r>
      <w:r w:rsidRPr="004568E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bookmarkEnd w:id="4"/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74.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75.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«Шилкинское»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76. Проверки полноты и качества предоставления муниципальной услуги осуществляются на основании индивидуальных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«Шилкинское».</w:t>
      </w:r>
    </w:p>
    <w:bookmarkEnd w:id="3"/>
    <w:p w:rsidR="00751A67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77. 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«Шилкинское»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78. 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«Шилкинское»</w:t>
      </w:r>
      <w:r w:rsidRPr="004568EA">
        <w:rPr>
          <w:rFonts w:ascii="Times New Roman" w:hAnsi="Times New Roman" w:cs="Times New Roman"/>
          <w:sz w:val="28"/>
          <w:szCs w:val="28"/>
        </w:rPr>
        <w:t xml:space="preserve">, </w:t>
      </w:r>
      <w:r w:rsidRPr="000F3091"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работы по рассмотрению обращений граждан, </w:t>
      </w:r>
      <w:r w:rsidRPr="004568EA">
        <w:rPr>
          <w:rFonts w:ascii="Times New Roman" w:hAnsi="Times New Roman" w:cs="Times New Roman"/>
          <w:sz w:val="28"/>
          <w:szCs w:val="28"/>
        </w:rPr>
        <w:t>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79.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80. По окончании проверки представленные документы уполномоченный орган</w:t>
      </w:r>
      <w:r w:rsidRPr="0045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sub_1043"/>
      <w:r w:rsidRPr="004568EA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4"/>
      <w:bookmarkEnd w:id="5"/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81.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751A67" w:rsidRPr="004568EA" w:rsidRDefault="00751A67" w:rsidP="00751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82.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83. Заявители могут сообщить о нарушении своих прав и законных интересов, противоправных решениях, действиях или бездействии должно</w:t>
      </w:r>
      <w:r>
        <w:rPr>
          <w:rFonts w:ascii="Times New Roman" w:hAnsi="Times New Roman"/>
          <w:sz w:val="28"/>
          <w:szCs w:val="28"/>
        </w:rPr>
        <w:t>стных лиц, нарушении положений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84.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>
        <w:rPr>
          <w:rFonts w:ascii="Times New Roman" w:hAnsi="Times New Roman"/>
          <w:i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а также в порядке и формах, установленных законодательством Российской Федерации.</w:t>
      </w:r>
    </w:p>
    <w:p w:rsidR="00751A67" w:rsidRPr="004568EA" w:rsidRDefault="00751A67" w:rsidP="00751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751A67" w:rsidRPr="004568EA" w:rsidRDefault="00751A67" w:rsidP="00751A67">
      <w:pPr>
        <w:jc w:val="both"/>
        <w:rPr>
          <w:rFonts w:ascii="Times New Roman" w:hAnsi="Times New Roman"/>
          <w:b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1"/>
      <w:r w:rsidRPr="004568EA">
        <w:rPr>
          <w:rFonts w:ascii="Times New Roman" w:hAnsi="Times New Roman"/>
          <w:sz w:val="28"/>
          <w:szCs w:val="28"/>
        </w:rPr>
        <w:t>85.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Предмет жалобы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4568EA">
        <w:rPr>
          <w:rFonts w:ascii="Times New Roman" w:hAnsi="Times New Roman"/>
          <w:sz w:val="28"/>
          <w:szCs w:val="28"/>
        </w:rPr>
        <w:t>86. 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4568E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4568EA">
        <w:rPr>
          <w:rFonts w:ascii="Times New Roman" w:hAnsi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/>
          <w:sz w:val="28"/>
          <w:szCs w:val="28"/>
        </w:rPr>
        <w:t>документов, не предусмотренных а</w:t>
      </w:r>
      <w:r w:rsidRPr="004568EA">
        <w:rPr>
          <w:rFonts w:ascii="Times New Roman" w:hAnsi="Times New Roman"/>
          <w:sz w:val="28"/>
          <w:szCs w:val="28"/>
        </w:rPr>
        <w:t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4568E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r w:rsidRPr="004568E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568EA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4568E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«Шилкинское»;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r w:rsidRPr="004568E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4568EA">
        <w:rPr>
          <w:rFonts w:ascii="Times New Roman" w:hAnsi="Times New Roman"/>
          <w:sz w:val="28"/>
          <w:szCs w:val="28"/>
        </w:rPr>
        <w:t>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87. Жалоба может быть направлена следующим органам и должностным лицам: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 xml:space="preserve"> Исполнителя;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заместителю </w:t>
      </w:r>
      <w:r>
        <w:rPr>
          <w:rFonts w:ascii="Times New Roman" w:hAnsi="Times New Roman"/>
          <w:sz w:val="28"/>
          <w:szCs w:val="28"/>
        </w:rPr>
        <w:t>главы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«Шилкинское», </w:t>
      </w:r>
      <w:r w:rsidRPr="004568EA">
        <w:rPr>
          <w:rFonts w:ascii="Times New Roman" w:hAnsi="Times New Roman"/>
          <w:sz w:val="28"/>
          <w:szCs w:val="28"/>
        </w:rPr>
        <w:t>курирующему соответствующее направление деятельности;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88. Рассмотрение жалобы не может быть поручено лицу, чьи решения и (или) действия (бездействие) обжалуются.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sub_55"/>
      <w:r w:rsidRPr="004568EA"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A54114">
        <w:rPr>
          <w:rFonts w:ascii="Times New Roman" w:hAnsi="Times New Roman"/>
          <w:sz w:val="28"/>
          <w:szCs w:val="28"/>
        </w:rPr>
        <w:t>(при его наличии)</w:t>
      </w:r>
      <w:r w:rsidRPr="004568EA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89. Должностное лицо, уполномоченное на рассмотрение жалобы, обязано:</w:t>
      </w:r>
    </w:p>
    <w:bookmarkEnd w:id="15"/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51A67" w:rsidRPr="004568EA" w:rsidRDefault="00751A67" w:rsidP="00751A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91. Жалоба может быть направлена: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в адрес главы Администрации городского поселения «Шилкинское»  </w:t>
      </w:r>
      <w:r w:rsidRPr="004568EA">
        <w:rPr>
          <w:rFonts w:ascii="Times New Roman" w:hAnsi="Times New Roman"/>
          <w:sz w:val="28"/>
          <w:szCs w:val="28"/>
        </w:rPr>
        <w:t xml:space="preserve">по адресу: </w:t>
      </w:r>
      <w:r w:rsidRPr="00BC3000">
        <w:rPr>
          <w:rFonts w:ascii="Times New Roman" w:hAnsi="Times New Roman"/>
          <w:sz w:val="28"/>
          <w:szCs w:val="28"/>
        </w:rPr>
        <w:t>673370 Забайкальский край, г. Шилка, ул. Балябина, д. № 138А;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в адрес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4568E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Pr="00BC3000">
        <w:rPr>
          <w:rFonts w:ascii="Times New Roman" w:hAnsi="Times New Roman"/>
          <w:sz w:val="28"/>
          <w:szCs w:val="28"/>
        </w:rPr>
        <w:t>673370 Забайкальский край, г. Шилка, ул. Балябина, д. № 138А;</w:t>
      </w:r>
    </w:p>
    <w:p w:rsidR="00751A67" w:rsidRPr="00BC3000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00">
        <w:rPr>
          <w:rFonts w:ascii="Times New Roman" w:hAnsi="Times New Roman"/>
          <w:sz w:val="28"/>
          <w:szCs w:val="28"/>
        </w:rPr>
        <w:t>через многофункциональный центр по месту нахождения.</w:t>
      </w:r>
    </w:p>
    <w:p w:rsidR="00751A67" w:rsidRPr="00BC3000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14" w:history="1">
        <w:r w:rsidRPr="00BC300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C30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C300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C30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.Шилкинский.РФ</w:t>
        </w:r>
      </w:hyperlink>
      <w:r w:rsidRPr="00BC3000">
        <w:rPr>
          <w:rFonts w:ascii="Times New Roman" w:hAnsi="Times New Roman"/>
          <w:sz w:val="28"/>
          <w:szCs w:val="28"/>
        </w:rPr>
        <w:t>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5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568EA">
        <w:rPr>
          <w:rFonts w:ascii="Times New Roman" w:hAnsi="Times New Roman"/>
          <w:sz w:val="28"/>
          <w:szCs w:val="28"/>
        </w:rPr>
        <w:t>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92. Жалоба должна содержать: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751A67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1A67" w:rsidRPr="00C32187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32187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городского поселения «Шилкинское»</w:t>
      </w:r>
      <w:r w:rsidRPr="00C3218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32187">
        <w:rPr>
          <w:rFonts w:ascii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751A67" w:rsidRPr="004568EA" w:rsidRDefault="00751A67" w:rsidP="00751A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51A67" w:rsidRPr="004568EA" w:rsidRDefault="00751A67" w:rsidP="00751A6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93. Жалоба, поступившая Исполнителю, подлежит регистрации не позднее следующего рабочего дня со дня ее поступления.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94. Жалоба, поступившая Исполнителю,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/>
          <w:sz w:val="28"/>
          <w:szCs w:val="28"/>
        </w:rPr>
        <w:t xml:space="preserve">тридцати </w:t>
      </w:r>
      <w:r w:rsidRPr="004568EA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</w:t>
      </w:r>
      <w:r w:rsidRPr="004568EA">
        <w:rPr>
          <w:rFonts w:ascii="Times New Roman" w:hAnsi="Times New Roman"/>
          <w:sz w:val="28"/>
          <w:szCs w:val="28"/>
        </w:rPr>
        <w:lastRenderedPageBreak/>
        <w:t>установленной статьей 151 Уголовно-процессуального кодекса Российской Федерации, или в органы прокуратуры.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96. Основания для приостановления рассмотрения жалобы отсутствуют.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98. По результатам рассмотрения жалобы Исполнитель принимает одно из следующих решений: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«Шилкинское»</w:t>
      </w:r>
      <w:r w:rsidRPr="004568EA">
        <w:rPr>
          <w:rFonts w:ascii="Times New Roman" w:hAnsi="Times New Roman"/>
          <w:sz w:val="28"/>
          <w:szCs w:val="28"/>
        </w:rPr>
        <w:t>, а также в иных формах;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99.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</w:t>
      </w:r>
      <w:r>
        <w:rPr>
          <w:rFonts w:ascii="Times New Roman" w:hAnsi="Times New Roman"/>
          <w:sz w:val="28"/>
          <w:szCs w:val="28"/>
        </w:rPr>
        <w:t>аявителю результата муниципаль</w:t>
      </w:r>
      <w:r w:rsidRPr="004568EA">
        <w:rPr>
          <w:rFonts w:ascii="Times New Roman" w:hAnsi="Times New Roman"/>
          <w:sz w:val="28"/>
          <w:szCs w:val="28"/>
        </w:rPr>
        <w:t>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100. Уполномоченный на рассмотрение жалобы орган отказывает в удовлетворении жалобы в следующих случаях: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101. Уполномоченный на рассмотрение жалобы орган вправе оставить жалобу без ответа в следующих случаях: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102. Не позднее дня, следующего за днем принятия решения, указанного </w:t>
      </w:r>
      <w:r w:rsidRPr="00843214">
        <w:rPr>
          <w:rFonts w:ascii="Times New Roman" w:hAnsi="Times New Roman"/>
          <w:sz w:val="28"/>
          <w:szCs w:val="28"/>
        </w:rPr>
        <w:t>в подпункте 98</w:t>
      </w:r>
      <w:r w:rsidRPr="0045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103. В ответе по результатам рассмотрения жалобы указываются: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104.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51A67" w:rsidRPr="004568EA" w:rsidRDefault="00751A67" w:rsidP="00751A6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51A67" w:rsidRPr="004568EA" w:rsidRDefault="00751A67" w:rsidP="00751A6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1A67" w:rsidRPr="00843214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106. </w:t>
      </w:r>
      <w:r w:rsidRPr="00843214">
        <w:rPr>
          <w:rFonts w:ascii="Times New Roman" w:hAnsi="Times New Roman"/>
          <w:sz w:val="28"/>
          <w:szCs w:val="28"/>
        </w:rPr>
        <w:t>Решение, принятое по жалобе,</w:t>
      </w:r>
      <w:r>
        <w:rPr>
          <w:rFonts w:ascii="Times New Roman" w:hAnsi="Times New Roman"/>
          <w:sz w:val="28"/>
          <w:szCs w:val="28"/>
        </w:rPr>
        <w:t xml:space="preserve"> направленной главе Администрации городского поселения «Шилкинское»</w:t>
      </w:r>
      <w:r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</w:t>
      </w:r>
      <w:r>
        <w:rPr>
          <w:rFonts w:ascii="Times New Roman" w:hAnsi="Times New Roman"/>
          <w:sz w:val="28"/>
          <w:szCs w:val="28"/>
        </w:rPr>
        <w:t>обой к Администрации городского поселения «Шилкинское»,</w:t>
      </w:r>
      <w:r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либо в прокуратуру или суд в установленном порядке.</w:t>
      </w:r>
    </w:p>
    <w:p w:rsidR="00751A67" w:rsidRDefault="00751A67" w:rsidP="00751A6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751A67" w:rsidRPr="004568EA" w:rsidRDefault="00751A67" w:rsidP="00751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107.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751A67" w:rsidRPr="004568EA" w:rsidRDefault="00751A67" w:rsidP="0075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751A67" w:rsidRPr="004568EA" w:rsidRDefault="00751A67" w:rsidP="0075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108. Информация о порядке подачи и рассмотрения жалобы размещается на официальном сайте Исполнителя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568EA">
        <w:rPr>
          <w:rFonts w:ascii="Times New Roman" w:hAnsi="Times New Roman"/>
          <w:sz w:val="28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751A67" w:rsidRPr="004568EA" w:rsidRDefault="00751A67" w:rsidP="00751A6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751A67" w:rsidRPr="004568EA" w:rsidRDefault="00751A67" w:rsidP="00751A67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_________________________</w:t>
      </w:r>
    </w:p>
    <w:p w:rsidR="00751A67" w:rsidRPr="004568EA" w:rsidRDefault="00751A67" w:rsidP="00751A6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br w:type="page"/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БЛОК-СХЕМА</w:t>
      </w:r>
    </w:p>
    <w:p w:rsidR="00751A67" w:rsidRPr="004568EA" w:rsidRDefault="00751A67" w:rsidP="00751A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5.7pt;margin-top:2.75pt;width:397.5pt;height:36.75pt;z-index:251660288">
            <v:textbox>
              <w:txbxContent>
                <w:p w:rsidR="00751A67" w:rsidRPr="00B60542" w:rsidRDefault="00751A67" w:rsidP="00751A6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</w:t>
                  </w:r>
                </w:p>
                <w:p w:rsidR="00751A67" w:rsidRPr="00B60542" w:rsidRDefault="00751A67" w:rsidP="00751A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нежилое или нежилого помещения в жилое</w:t>
                  </w:r>
                </w:p>
              </w:txbxContent>
            </v:textbox>
          </v:rect>
        </w:pic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5pt;margin-top:7.3pt;width:.75pt;height:14.25pt;flip:x;z-index:251662336" o:connectortype="straight">
            <v:stroke endarrow="block"/>
          </v:shape>
        </w:pic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26.7pt;margin-top:5.45pt;width:406.5pt;height:40.5pt;z-index:251661312">
            <v:textbox>
              <w:txbxContent>
                <w:p w:rsidR="00751A67" w:rsidRPr="00B60542" w:rsidRDefault="00751A67" w:rsidP="00751A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проверка заявления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нежилое или нежилого помещения в жилое</w:t>
                  </w:r>
                </w:p>
              </w:txbxContent>
            </v:textbox>
          </v:rect>
        </w:pict>
      </w: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  <w:r>
        <w:rPr>
          <w:noProof/>
        </w:rPr>
        <w:pict>
          <v:shape id="_x0000_s1033" type="#_x0000_t32" style="position:absolute;left:0;text-align:left;margin-left:331.2pt;margin-top:7.2pt;width:.75pt;height:19.5pt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5.2pt;margin-top:7.2pt;width:0;height:19.5pt;z-index:251666432" o:connectortype="straight">
            <v:stroke endarrow="block"/>
          </v:shape>
        </w:pict>
      </w: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26.7pt;margin-top:4.05pt;width:177.75pt;height:66.75pt;z-index:251663360">
            <v:textbox>
              <w:txbxContent>
                <w:p w:rsidR="00751A67" w:rsidRPr="00B60542" w:rsidRDefault="00751A67" w:rsidP="00751A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жилого помещения в нежилое или нежилого помещения в жилое</w:t>
                  </w:r>
                </w:p>
                <w:p w:rsidR="00751A67" w:rsidRDefault="00751A67" w:rsidP="00751A67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7.2pt;margin-top:4.05pt;width:177.75pt;height:66.75pt;z-index:251664384">
            <v:textbox>
              <w:txbxContent>
                <w:p w:rsidR="00751A67" w:rsidRPr="00B60542" w:rsidRDefault="00751A67" w:rsidP="00751A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переводе жилого помещения в нежилое или нежилого помещения в жилое</w:t>
                  </w:r>
                </w:p>
                <w:p w:rsidR="00751A67" w:rsidRPr="00B60542" w:rsidRDefault="00751A67" w:rsidP="00751A67"/>
              </w:txbxContent>
            </v:textbox>
          </v:rect>
        </w:pict>
      </w: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  <w:r>
        <w:rPr>
          <w:noProof/>
        </w:rPr>
        <w:pict>
          <v:shape id="_x0000_s1035" type="#_x0000_t32" style="position:absolute;left:0;text-align:left;margin-left:283.95pt;margin-top:2.85pt;width:33.75pt;height:27.75pt;flip:x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29.45pt;margin-top:2.85pt;width:32.25pt;height:27.75pt;z-index:251668480" o:connectortype="straight">
            <v:stroke endarrow="block"/>
          </v:shape>
        </w:pict>
      </w:r>
    </w:p>
    <w:p w:rsidR="00751A67" w:rsidRPr="004568EA" w:rsidRDefault="00751A67" w:rsidP="00751A67">
      <w:pPr>
        <w:pStyle w:val="ConsPlusNonformat"/>
        <w:widowControl/>
        <w:jc w:val="both"/>
      </w:pPr>
    </w:p>
    <w:p w:rsidR="00751A67" w:rsidRPr="004568EA" w:rsidRDefault="00751A67" w:rsidP="00751A67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139.95pt;margin-top:7.95pt;width:177.75pt;height:39pt;z-index:251665408">
            <v:textbox>
              <w:txbxContent>
                <w:p w:rsidR="00751A67" w:rsidRPr="00B60542" w:rsidRDefault="00751A67" w:rsidP="00751A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751A67" w:rsidRDefault="00751A67" w:rsidP="00751A67"/>
              </w:txbxContent>
            </v:textbox>
          </v:rect>
        </w:pic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751A67" w:rsidRPr="004568EA" w:rsidSect="00B11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A67" w:rsidRPr="004568EA" w:rsidRDefault="00751A67" w:rsidP="00751A67">
      <w:pPr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51A67" w:rsidRPr="004568EA" w:rsidRDefault="00751A67" w:rsidP="00751A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1A67" w:rsidRPr="004568EA" w:rsidRDefault="00751A67" w:rsidP="00751A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</w:t>
      </w:r>
    </w:p>
    <w:p w:rsidR="00751A67" w:rsidRPr="004568EA" w:rsidRDefault="00751A67" w:rsidP="00751A67">
      <w:pPr>
        <w:ind w:left="4536" w:firstLine="540"/>
        <w:jc w:val="right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jc w:val="right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jc w:val="right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Примерная форма</w:t>
      </w:r>
    </w:p>
    <w:p w:rsidR="00751A67" w:rsidRPr="004568EA" w:rsidRDefault="00751A67" w:rsidP="00751A6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51A67" w:rsidRPr="004568EA" w:rsidRDefault="00751A67" w:rsidP="00751A6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51A67" w:rsidRPr="004568EA" w:rsidRDefault="00751A67" w:rsidP="00751A6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Ф.И.О. лица, подавшего заявление</w:t>
      </w:r>
    </w:p>
    <w:p w:rsidR="00751A67" w:rsidRPr="004568EA" w:rsidRDefault="00751A67" w:rsidP="00751A6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6" w:history="1">
        <w:r w:rsidRPr="004568EA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под _____________.</w:t>
      </w: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</w:t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помещения).</w:t>
      </w:r>
    </w:p>
    <w:p w:rsidR="00751A67" w:rsidRPr="004568EA" w:rsidRDefault="00751A67" w:rsidP="00751A6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Я согласен (согласна) на обработку моих персональных данных, содержащихся в заявлении.</w:t>
      </w: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4568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68EA">
        <w:rPr>
          <w:rFonts w:ascii="Times New Roman" w:hAnsi="Times New Roman" w:cs="Times New Roman"/>
          <w:sz w:val="28"/>
          <w:szCs w:val="28"/>
        </w:rPr>
        <w:t>:</w:t>
      </w: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751A67" w:rsidRPr="004568EA" w:rsidRDefault="00751A67" w:rsidP="00751A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Подпись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751A67" w:rsidRPr="004568EA" w:rsidRDefault="00751A67" w:rsidP="00751A67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751A67" w:rsidRPr="004568EA" w:rsidRDefault="00751A67" w:rsidP="00751A6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A67" w:rsidRPr="004568EA" w:rsidRDefault="00751A67" w:rsidP="00751A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Подпись</w:t>
      </w:r>
    </w:p>
    <w:p w:rsidR="00751A67" w:rsidRPr="004568EA" w:rsidRDefault="00751A67" w:rsidP="00751A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______________________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56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A67" w:rsidRPr="004568EA" w:rsidRDefault="00751A67" w:rsidP="00751A6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  <w:vertAlign w:val="subscript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67" w:rsidRPr="004568EA" w:rsidRDefault="00751A67" w:rsidP="00751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618E" w:rsidRDefault="0050618E"/>
    <w:sectPr w:rsidR="005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??????Ўю¬в?¬рЎю¬µ??¬рЎю¬У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675EE"/>
    <w:multiLevelType w:val="hybridMultilevel"/>
    <w:tmpl w:val="0EAE8C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A67"/>
    <w:rsid w:val="002A3C8F"/>
    <w:rsid w:val="0050618E"/>
    <w:rsid w:val="0075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1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A67"/>
    <w:pPr>
      <w:keepNext/>
      <w:spacing w:after="0" w:line="240" w:lineRule="auto"/>
      <w:ind w:firstLine="720"/>
      <w:jc w:val="center"/>
      <w:outlineLvl w:val="1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1A6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51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751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1A67"/>
    <w:pPr>
      <w:spacing w:after="0"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1A67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751A6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1A6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1A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51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751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1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3C6A31C7A29A1B186B6DC26A50D4A267F66B03F77BDEB09C0F2B4AD50v8MDG" TargetMode="External"/><Relationship Id="rId13" Type="http://schemas.openxmlformats.org/officeDocument/2006/relationships/hyperlink" Target="consultantplus://offline/main?base=RLAW011;n=54631;fld=134;dst=1001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3C6A31C7A29A1B186B6DC26A50D4A267F66B03F77BDEB09C0F2B4AD51v8M3G" TargetMode="External"/><Relationship Id="rId12" Type="http://schemas.openxmlformats.org/officeDocument/2006/relationships/hyperlink" Target="consultantplus://offline/ref=95AF5AF2F00699D51777632BEA7053C6A31C7A29A1B186B6DC26A50D4A267F66B03F77BDEB09C0F2B4AD50v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7D26FC1C0ECCA4162C2DA7BF88E18979FE501D2F7531F7702EFFAF04C0F5vBM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190608EB41F65EF599E520592DD05500F9ECEB19EAC08D23F44B68C9F5B50AB601FADC1BA41BE2R76CA" TargetMode="External"/><Relationship Id="rId11" Type="http://schemas.openxmlformats.org/officeDocument/2006/relationships/hyperlink" Target="consultantplus://offline/ref=95AF5AF2F00699D51777632BEA7053C6A31C7A29A1B186B6DC26A50D4A267F66B03F77BDEB09C0F2B4AD51v8M3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pgu.e-zab.ru" TargetMode="External"/><Relationship Id="rId10" Type="http://schemas.openxmlformats.org/officeDocument/2006/relationships/hyperlink" Target="consultantplus://offline/ref=95AF5AF2F00699D517777D26FC1C0ECCA4162C2DA7BF88E18979FE501Dv2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5AF2F00699D51777632BEA7053C6A31C7A29A1B186B6DC26A50D4A267F66B03F77BDEB09C0F2B4AC50v8MBG" TargetMode="External"/><Relationship Id="rId14" Type="http://schemas.openxmlformats.org/officeDocument/2006/relationships/hyperlink" Target="http://www.&#1064;&#1080;&#1083;&#1082;&#1080;&#1085;&#1089;&#1082;&#1080;&#1081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8212</Words>
  <Characters>46813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2016-05-17T11:09:00Z</dcterms:created>
  <dcterms:modified xsi:type="dcterms:W3CDTF">2016-05-17T11:10:00Z</dcterms:modified>
</cp:coreProperties>
</file>